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5A" w:rsidRPr="00A26F33" w:rsidRDefault="009E61E6" w:rsidP="0080402E">
      <w:pPr>
        <w:ind w:left="540" w:right="414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1987880" cy="6379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6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6F" w:rsidRPr="00A26F33" w:rsidRDefault="009E61E6" w:rsidP="0080402E">
      <w:pPr>
        <w:ind w:left="540" w:right="414"/>
        <w:jc w:val="center"/>
        <w:rPr>
          <w:b/>
          <w:i/>
        </w:rPr>
      </w:pPr>
    </w:p>
    <w:p w:rsidR="00C52893" w:rsidRPr="00806477" w:rsidRDefault="009E61E6" w:rsidP="008040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13" w:color="auto" w:shadow="1"/>
        </w:pBdr>
        <w:ind w:left="540" w:right="4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23rd Biennial Cornea Conference: Current Concepts in Corneal and Refractive Surgery and External Disease</w:t>
      </w:r>
    </w:p>
    <w:p w:rsidR="00DF494A" w:rsidRDefault="009E61E6" w:rsidP="008040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13" w:color="auto" w:shadow="1"/>
        </w:pBdr>
        <w:ind w:left="540" w:right="414"/>
        <w:jc w:val="center"/>
        <w:rPr>
          <w:i/>
          <w:szCs w:val="24"/>
        </w:rPr>
      </w:pPr>
      <w:r w:rsidRPr="00743666">
        <w:rPr>
          <w:b/>
          <w:bCs/>
          <w:szCs w:val="24"/>
        </w:rPr>
        <w:t>Friday, October 22, 2021</w:t>
      </w:r>
      <w:r>
        <w:rPr>
          <w:b/>
          <w:bCs/>
          <w:szCs w:val="24"/>
        </w:rPr>
        <w:fldChar w:fldCharType="begin"/>
      </w:r>
      <w:r>
        <w:rPr>
          <w:b/>
          <w:bCs/>
          <w:szCs w:val="24"/>
        </w:rPr>
        <w:instrText xml:space="preserve"> IF "Saturday, October 23, 2021" &lt;&gt; "Friday, October 22, 2021" " </w:instrText>
      </w:r>
      <w:r w:rsidRPr="00677A88">
        <w:rPr>
          <w:b/>
          <w:bCs/>
          <w:szCs w:val="24"/>
        </w:rPr>
        <w:instrText>—</w:instrText>
      </w:r>
      <w:r>
        <w:rPr>
          <w:b/>
          <w:bCs/>
          <w:szCs w:val="24"/>
        </w:rPr>
        <w:instrText xml:space="preserve"> Saturday, October 23, 2021" "" </w:instrText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 xml:space="preserve"> </w:t>
      </w:r>
      <w:r w:rsidRPr="00677A88">
        <w:rPr>
          <w:b/>
          <w:bCs/>
          <w:szCs w:val="24"/>
        </w:rPr>
        <w:t>—</w:t>
      </w:r>
      <w:r>
        <w:rPr>
          <w:b/>
          <w:bCs/>
          <w:szCs w:val="24"/>
        </w:rPr>
        <w:t xml:space="preserve"> Saturday, October 23, </w:t>
      </w:r>
      <w:r>
        <w:rPr>
          <w:b/>
          <w:bCs/>
          <w:szCs w:val="24"/>
        </w:rPr>
        <w:t>2021</w:t>
      </w:r>
      <w:r>
        <w:rPr>
          <w:b/>
          <w:bCs/>
          <w:szCs w:val="24"/>
        </w:rPr>
        <w:fldChar w:fldCharType="end"/>
      </w:r>
      <w:r>
        <w:rPr>
          <w:i/>
          <w:szCs w:val="24"/>
        </w:rPr>
        <w:fldChar w:fldCharType="begin"/>
      </w:r>
      <w:r>
        <w:rPr>
          <w:i/>
          <w:szCs w:val="24"/>
        </w:rPr>
        <w:instrText xml:space="preserve"> IF "Wills Eye Auditorium" &lt;&gt; "" "</w:instrText>
      </w:r>
    </w:p>
    <w:p w:rsidR="00090473" w:rsidRDefault="009E61E6" w:rsidP="008040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13" w:color="auto" w:shadow="1"/>
        </w:pBdr>
        <w:ind w:left="540" w:right="414"/>
        <w:jc w:val="center"/>
        <w:rPr>
          <w:i/>
          <w:noProof/>
          <w:szCs w:val="24"/>
        </w:rPr>
      </w:pPr>
      <w:r>
        <w:rPr>
          <w:i/>
          <w:szCs w:val="24"/>
        </w:rPr>
        <w:instrText xml:space="preserve">Wills Eye Auditorium" "" </w:instrText>
      </w:r>
      <w:r>
        <w:rPr>
          <w:i/>
          <w:szCs w:val="24"/>
        </w:rPr>
        <w:fldChar w:fldCharType="separate"/>
      </w:r>
    </w:p>
    <w:p w:rsidR="007C0CF7" w:rsidRDefault="009E61E6" w:rsidP="008040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13" w:color="auto" w:shadow="1"/>
        </w:pBdr>
        <w:ind w:left="540" w:right="414"/>
        <w:jc w:val="center"/>
        <w:rPr>
          <w:i/>
          <w:szCs w:val="24"/>
        </w:rPr>
      </w:pPr>
      <w:r>
        <w:rPr>
          <w:i/>
          <w:szCs w:val="24"/>
        </w:rPr>
        <w:t>Wills Eye Auditorium</w:t>
      </w:r>
      <w:r>
        <w:rPr>
          <w:i/>
          <w:szCs w:val="24"/>
        </w:rPr>
        <w:fldChar w:fldCharType="end"/>
      </w:r>
    </w:p>
    <w:p w:rsidR="00E57967" w:rsidRPr="00806477" w:rsidRDefault="009E61E6" w:rsidP="0080402E">
      <w:pPr>
        <w:ind w:left="540" w:right="414"/>
        <w:jc w:val="center"/>
        <w:rPr>
          <w:b/>
          <w:i/>
        </w:rPr>
      </w:pPr>
    </w:p>
    <w:p w:rsidR="00DB066A" w:rsidRDefault="009E61E6" w:rsidP="0080402E">
      <w:pPr>
        <w:ind w:left="540" w:right="414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IF </w:instrText>
      </w:r>
      <w:r>
        <w:rPr>
          <w:noProof/>
          <w:szCs w:val="24"/>
        </w:rPr>
        <w:instrText>"Christopher J</w:instrText>
      </w:r>
      <w:r>
        <w:rPr>
          <w:szCs w:val="24"/>
        </w:rPr>
        <w:instrText>. Rapuano, MD" = "" "" "</w:instrText>
      </w:r>
      <w:r w:rsidRPr="00806477">
        <w:rPr>
          <w:szCs w:val="24"/>
        </w:rPr>
        <w:instrText>Program Chair</w:instrText>
      </w:r>
      <w:r>
        <w:rPr>
          <w:szCs w:val="24"/>
        </w:rPr>
        <w:instrText>(s):</w:instrText>
      </w:r>
    </w:p>
    <w:p w:rsidR="003936BF" w:rsidRPr="00042BB4" w:rsidRDefault="009E61E6" w:rsidP="0080402E">
      <w:pPr>
        <w:ind w:left="540" w:right="41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instrText>Christopher J</w:instrText>
      </w:r>
      <w:r>
        <w:rPr>
          <w:b/>
          <w:sz w:val="28"/>
          <w:szCs w:val="28"/>
        </w:rPr>
        <w:instrText>. Rapuano, MD</w:instrText>
      </w:r>
    </w:p>
    <w:p w:rsidR="00090473" w:rsidRDefault="009E61E6" w:rsidP="0080402E">
      <w:pPr>
        <w:ind w:left="540" w:right="414"/>
        <w:jc w:val="center"/>
        <w:rPr>
          <w:noProof/>
          <w:szCs w:val="24"/>
        </w:rPr>
      </w:pPr>
      <w:r>
        <w:rPr>
          <w:szCs w:val="24"/>
        </w:rPr>
        <w:instrText xml:space="preserve"> "</w:instrText>
      </w:r>
      <w:r>
        <w:rPr>
          <w:szCs w:val="24"/>
        </w:rPr>
        <w:fldChar w:fldCharType="separate"/>
      </w:r>
      <w:r w:rsidRPr="00806477">
        <w:rPr>
          <w:szCs w:val="24"/>
        </w:rPr>
        <w:t>Program Chair</w:t>
      </w:r>
      <w:r>
        <w:rPr>
          <w:szCs w:val="24"/>
        </w:rPr>
        <w:t>(s):</w:t>
      </w:r>
    </w:p>
    <w:p w:rsidR="003936BF" w:rsidRPr="00042BB4" w:rsidRDefault="009E61E6" w:rsidP="0080402E">
      <w:pPr>
        <w:ind w:left="540" w:right="41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Christopher J</w:t>
      </w:r>
      <w:r>
        <w:rPr>
          <w:b/>
          <w:sz w:val="28"/>
          <w:szCs w:val="28"/>
        </w:rPr>
        <w:t>. Rapuano, MD</w:t>
      </w:r>
    </w:p>
    <w:p w:rsidR="00422C29" w:rsidRDefault="009E61E6" w:rsidP="0080402E">
      <w:pPr>
        <w:ind w:left="540" w:right="414"/>
        <w:jc w:val="center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fldChar w:fldCharType="end"/>
      </w:r>
    </w:p>
    <w:p w:rsidR="00DF494A" w:rsidRDefault="009E61E6" w:rsidP="000B10C9">
      <w:pPr>
        <w:ind w:left="450" w:right="324"/>
        <w:rPr>
          <w:bCs/>
          <w:iCs/>
        </w:rPr>
      </w:pPr>
      <w:r w:rsidRPr="00DF494A">
        <w:rPr>
          <w:bCs/>
          <w:iCs/>
        </w:rPr>
        <w:fldChar w:fldCharType="begin"/>
      </w:r>
      <w:r w:rsidRPr="00DF494A">
        <w:rPr>
          <w:bCs/>
          <w:iCs/>
        </w:rPr>
        <w:instrText xml:space="preserve"> IF </w:instrText>
      </w:r>
      <w:r>
        <w:rPr>
          <w:bCs/>
          <w:iCs/>
        </w:rPr>
        <w:instrText>"</w:instrText>
      </w:r>
      <w:r>
        <w:instrText xml:space="preserve">This conference is </w:instrText>
      </w:r>
      <w:r>
        <w:instrText>designed to update comprehensive ophthalmologists and cornea specialists on current concepts and recent advances in a wide range of topics related to external disease, cornea transplant and cataract surgery, in addition to anterior segment reconstruction a</w:instrText>
      </w:r>
      <w:r>
        <w:instrText>nd refractive surgery. </w:instrText>
      </w:r>
      <w:r>
        <w:rPr>
          <w:bCs/>
          <w:iCs/>
        </w:rPr>
        <w:instrText>"</w:instrText>
      </w:r>
      <w:r w:rsidRPr="00DF494A">
        <w:rPr>
          <w:bCs/>
          <w:iCs/>
        </w:rPr>
        <w:instrText xml:space="preserve"> &lt;&gt; "" "</w:instrText>
      </w:r>
    </w:p>
    <w:p w:rsidR="000E2A8F" w:rsidRDefault="009E61E6" w:rsidP="000B10C9">
      <w:pPr>
        <w:ind w:left="450" w:right="324"/>
        <w:rPr>
          <w:bCs/>
          <w:iCs/>
          <w:sz w:val="22"/>
          <w:szCs w:val="18"/>
        </w:rPr>
      </w:pPr>
      <w:r w:rsidRPr="00DF494A">
        <w:rPr>
          <w:b/>
          <w:iCs/>
          <w:sz w:val="22"/>
          <w:szCs w:val="18"/>
        </w:rPr>
        <w:instrText>Conference</w:instrText>
      </w:r>
      <w:r>
        <w:rPr>
          <w:b/>
          <w:iCs/>
          <w:sz w:val="22"/>
          <w:szCs w:val="18"/>
        </w:rPr>
        <w:instrText xml:space="preserve"> Description:</w:instrText>
      </w:r>
    </w:p>
    <w:p w:rsidR="00090473" w:rsidRDefault="009E61E6" w:rsidP="000B10C9">
      <w:pPr>
        <w:ind w:left="450" w:right="324"/>
        <w:rPr>
          <w:bCs/>
          <w:iCs/>
          <w:noProof/>
        </w:rPr>
      </w:pPr>
      <w:r>
        <w:instrText>This conference is designed to update comprehensive ophthalmologists and cornea specialists on current concepts and recent advances in a wide range of topics related to external disease, cornea trans</w:instrText>
      </w:r>
      <w:r>
        <w:instrText>plant and cataract surgery, in addition to anterior segment reconstruction and refractive surgery. </w:instrText>
      </w:r>
      <w:r w:rsidRPr="00DF494A">
        <w:rPr>
          <w:bCs/>
          <w:iCs/>
        </w:rPr>
        <w:instrText xml:space="preserve">" "" </w:instrText>
      </w:r>
      <w:r w:rsidRPr="00DF494A">
        <w:rPr>
          <w:bCs/>
          <w:iCs/>
        </w:rPr>
        <w:fldChar w:fldCharType="separate"/>
      </w:r>
    </w:p>
    <w:p w:rsidR="000E2A8F" w:rsidRDefault="009E61E6" w:rsidP="000B10C9">
      <w:pPr>
        <w:ind w:left="450" w:right="324"/>
        <w:rPr>
          <w:bCs/>
          <w:iCs/>
          <w:sz w:val="22"/>
          <w:szCs w:val="18"/>
        </w:rPr>
      </w:pPr>
      <w:r w:rsidRPr="00DF494A">
        <w:rPr>
          <w:b/>
          <w:iCs/>
          <w:sz w:val="22"/>
          <w:szCs w:val="18"/>
        </w:rPr>
        <w:t>Conference</w:t>
      </w:r>
      <w:r>
        <w:rPr>
          <w:b/>
          <w:iCs/>
          <w:sz w:val="22"/>
          <w:szCs w:val="18"/>
        </w:rPr>
        <w:t xml:space="preserve"> Description:</w:t>
      </w:r>
    </w:p>
    <w:p w:rsidR="00DF494A" w:rsidRPr="00DF494A" w:rsidRDefault="009E61E6" w:rsidP="000B10C9">
      <w:pPr>
        <w:ind w:left="450" w:right="324"/>
        <w:rPr>
          <w:bCs/>
          <w:iCs/>
        </w:rPr>
      </w:pPr>
      <w:r>
        <w:t>This conference is designed to update comprehensive ophthalmologists and cornea specialists on current concepts and recent adva</w:t>
      </w:r>
      <w:r>
        <w:t>nces in a wide range of topics related to external disease, cornea transplant and cataract surgery, in addition to anterior segment reconstruction and refractive surgery. </w:t>
      </w:r>
      <w:r w:rsidRPr="00DF494A">
        <w:rPr>
          <w:bCs/>
          <w:iCs/>
        </w:rPr>
        <w:fldChar w:fldCharType="end"/>
      </w:r>
      <w:r w:rsidRPr="00522A80">
        <w:rPr>
          <w:bCs/>
          <w:iCs/>
          <w:sz w:val="22"/>
          <w:szCs w:val="22"/>
        </w:rPr>
        <w:fldChar w:fldCharType="begin"/>
      </w:r>
      <w:r w:rsidRPr="00522A80">
        <w:rPr>
          <w:bCs/>
          <w:iCs/>
          <w:sz w:val="22"/>
          <w:szCs w:val="22"/>
        </w:rPr>
        <w:instrText xml:space="preserve"> IF </w:instrText>
      </w:r>
      <w:r w:rsidRPr="00522A80">
        <w:rPr>
          <w:bCs/>
          <w:iCs/>
          <w:sz w:val="22"/>
          <w:szCs w:val="22"/>
        </w:rPr>
        <w:instrText xml:space="preserve">"1 Apply current concepts in the management of ocular surface disease </w:instrText>
      </w:r>
      <w:r w:rsidRPr="00522A80">
        <w:rPr>
          <w:bCs/>
          <w:iCs/>
          <w:sz w:val="22"/>
          <w:szCs w:val="22"/>
        </w:rPr>
        <w:instrText>including treating severe dry eye conditions, GVHD, limbal stem cell deficiency and neurotrophic keratopathy.</w:instrText>
      </w:r>
    </w:p>
    <w:p w:rsidR="00AC209D" w:rsidRPr="00522A80" w:rsidRDefault="009E61E6" w:rsidP="000B10C9">
      <w:pPr>
        <w:ind w:left="450" w:right="324"/>
        <w:rPr>
          <w:bCs/>
          <w:iCs/>
          <w:sz w:val="22"/>
          <w:szCs w:val="22"/>
        </w:rPr>
      </w:pPr>
      <w:r w:rsidRPr="00522A80">
        <w:rPr>
          <w:bCs/>
          <w:iCs/>
          <w:sz w:val="22"/>
          <w:szCs w:val="22"/>
        </w:rPr>
        <w:instrText>2 Assess techniques used in the diagnosis and management of acanthamoeba keratitis, atypical infectious keratitis and infectious scleritis.</w:instrText>
      </w:r>
    </w:p>
    <w:p w:rsidR="00AC209D" w:rsidRPr="00522A80" w:rsidRDefault="009E61E6" w:rsidP="000B10C9">
      <w:pPr>
        <w:ind w:left="450" w:right="324"/>
        <w:rPr>
          <w:bCs/>
          <w:iCs/>
          <w:sz w:val="22"/>
          <w:szCs w:val="22"/>
        </w:rPr>
      </w:pPr>
      <w:r w:rsidRPr="00522A80">
        <w:rPr>
          <w:bCs/>
          <w:iCs/>
          <w:sz w:val="22"/>
          <w:szCs w:val="22"/>
        </w:rPr>
        <w:instrText>3 Appr</w:instrText>
      </w:r>
      <w:r w:rsidRPr="00522A80">
        <w:rPr>
          <w:bCs/>
          <w:iCs/>
          <w:sz w:val="22"/>
          <w:szCs w:val="22"/>
        </w:rPr>
        <w:instrText>eciate current status of new techniques for corneal surgery including Descemet’s stripping endothelial keratoplasty (DSEK), Descemet’s membrane endothelial keratoplasty DMEK), deep anterior lamellar keratoplasty (DALK), and Descemet’s stripping only (DSO).</w:instrText>
      </w:r>
    </w:p>
    <w:p w:rsidR="00AC209D" w:rsidRPr="00522A80" w:rsidRDefault="009E61E6" w:rsidP="000B10C9">
      <w:pPr>
        <w:ind w:left="450" w:right="324"/>
        <w:rPr>
          <w:bCs/>
          <w:iCs/>
          <w:sz w:val="22"/>
          <w:szCs w:val="22"/>
        </w:rPr>
      </w:pPr>
      <w:r w:rsidRPr="00522A80">
        <w:rPr>
          <w:bCs/>
          <w:iCs/>
          <w:sz w:val="22"/>
          <w:szCs w:val="22"/>
        </w:rPr>
        <w:instrText>4 Integrate into practice the best use of corneal crosslinking for the treatment of keratoconus and post-refractive surgery ectasia." &lt;&gt; "" "</w:instrText>
      </w:r>
    </w:p>
    <w:p w:rsidR="00555DB6" w:rsidRDefault="009E61E6" w:rsidP="000B10C9">
      <w:pPr>
        <w:ind w:left="450" w:right="324"/>
        <w:rPr>
          <w:b/>
          <w:iCs/>
          <w:sz w:val="22"/>
          <w:szCs w:val="22"/>
        </w:rPr>
      </w:pPr>
    </w:p>
    <w:p w:rsidR="00522A80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instrText>At the conclusion of the course, participants should be able to:</w:instrText>
      </w:r>
    </w:p>
    <w:p w:rsidR="00090473" w:rsidRDefault="009E61E6" w:rsidP="000B10C9">
      <w:pPr>
        <w:ind w:left="450" w:right="324"/>
        <w:rPr>
          <w:bCs/>
          <w:iCs/>
          <w:noProof/>
          <w:sz w:val="22"/>
          <w:szCs w:val="22"/>
        </w:rPr>
      </w:pPr>
      <w:r>
        <w:rPr>
          <w:bCs/>
          <w:iCs/>
          <w:sz w:val="22"/>
          <w:szCs w:val="22"/>
        </w:rPr>
        <w:instrText xml:space="preserve">1 Apply current concepts in the management of </w:instrText>
      </w:r>
      <w:r>
        <w:rPr>
          <w:bCs/>
          <w:iCs/>
          <w:sz w:val="22"/>
          <w:szCs w:val="22"/>
        </w:rPr>
        <w:instrText>ocular surface disease including treating severe dry eye conditions, GVHD, limbal stem cell deficiency and neurotrophic keratopathy.</w:instrText>
      </w:r>
    </w:p>
    <w:p w:rsidR="000E563C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instrText>2 Assess techniques used in the diagnosis and management of acanthamoeba keratitis, atypical infectious keratitis and infec</w:instrText>
      </w:r>
      <w:r>
        <w:rPr>
          <w:bCs/>
          <w:iCs/>
          <w:sz w:val="22"/>
          <w:szCs w:val="22"/>
        </w:rPr>
        <w:instrText>tious scleritis.</w:instrText>
      </w:r>
    </w:p>
    <w:p w:rsidR="000E563C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instrText>3 Appreciate current status of new techniques for corneal surgery including Descemet’s stripping endothelial keratoplasty (DSEK), Descemet’s membrane endothelial keratoplasty DMEK), deep anterior lamellar keratoplasty (DALK), and Descemet’</w:instrText>
      </w:r>
      <w:r>
        <w:rPr>
          <w:bCs/>
          <w:iCs/>
          <w:sz w:val="22"/>
          <w:szCs w:val="22"/>
        </w:rPr>
        <w:instrText>s stripping only (DSO).</w:instrText>
      </w:r>
    </w:p>
    <w:p w:rsidR="000E563C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instrText>4 Integrate into practice the best use of corneal crosslinking for the treatment of keratoconus and post-refractive surgery ectasia.</w:instrText>
      </w:r>
      <w:r w:rsidRPr="00522A80">
        <w:rPr>
          <w:bCs/>
          <w:iCs/>
          <w:sz w:val="22"/>
          <w:szCs w:val="22"/>
        </w:rPr>
        <w:instrText>" ""</w:instrText>
      </w:r>
      <w:r w:rsidRPr="00522A80">
        <w:rPr>
          <w:bCs/>
          <w:iCs/>
          <w:sz w:val="22"/>
          <w:szCs w:val="22"/>
        </w:rPr>
        <w:instrText xml:space="preserve"> </w:instrText>
      </w:r>
      <w:r w:rsidRPr="00522A80">
        <w:rPr>
          <w:bCs/>
          <w:iCs/>
          <w:sz w:val="22"/>
          <w:szCs w:val="22"/>
        </w:rPr>
        <w:fldChar w:fldCharType="separate"/>
      </w:r>
    </w:p>
    <w:p w:rsidR="00555DB6" w:rsidRDefault="009E61E6" w:rsidP="000B10C9">
      <w:pPr>
        <w:ind w:left="450" w:right="324"/>
        <w:rPr>
          <w:b/>
          <w:iCs/>
          <w:sz w:val="22"/>
          <w:szCs w:val="22"/>
        </w:rPr>
      </w:pPr>
    </w:p>
    <w:p w:rsidR="00522A80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>At the conclusion of the course, participants should be able to:</w:t>
      </w:r>
    </w:p>
    <w:p w:rsidR="00090473" w:rsidRDefault="009E61E6" w:rsidP="000B10C9">
      <w:pPr>
        <w:ind w:left="450" w:right="324"/>
        <w:rPr>
          <w:bCs/>
          <w:iCs/>
          <w:noProof/>
          <w:sz w:val="22"/>
          <w:szCs w:val="22"/>
        </w:rPr>
      </w:pPr>
      <w:r>
        <w:rPr>
          <w:bCs/>
          <w:iCs/>
          <w:sz w:val="22"/>
          <w:szCs w:val="22"/>
        </w:rPr>
        <w:t xml:space="preserve">1 Apply current concepts in </w:t>
      </w:r>
      <w:r>
        <w:rPr>
          <w:bCs/>
          <w:iCs/>
          <w:sz w:val="22"/>
          <w:szCs w:val="22"/>
        </w:rPr>
        <w:t>the management of ocular surface disease including treating severe dry eye conditions, GVHD, limbal stem cell deficiency and neurotrophic keratopathy.</w:t>
      </w:r>
    </w:p>
    <w:p w:rsidR="000E563C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 Assess techniques used in the diagnosis and management of acanthamoeba keratitis, atypical infectious k</w:t>
      </w:r>
      <w:r>
        <w:rPr>
          <w:bCs/>
          <w:iCs/>
          <w:sz w:val="22"/>
          <w:szCs w:val="22"/>
        </w:rPr>
        <w:t>eratitis and infectious scleritis.</w:t>
      </w:r>
    </w:p>
    <w:p w:rsidR="000E563C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 Appreciate current status of new techniques for corneal surgery including Descemet’s stripping endothelial keratoplasty (DSEK), Descemet’s membrane endothelial keratoplasty DMEK), deep anterior lamellar keratoplasty (DA</w:t>
      </w:r>
      <w:r>
        <w:rPr>
          <w:bCs/>
          <w:iCs/>
          <w:sz w:val="22"/>
          <w:szCs w:val="22"/>
        </w:rPr>
        <w:t>LK), and Descemet’s stripping only (DSO).</w:t>
      </w:r>
    </w:p>
    <w:p w:rsidR="00AC209D" w:rsidRPr="00522A80" w:rsidRDefault="009E61E6" w:rsidP="000B10C9">
      <w:pPr>
        <w:ind w:left="450" w:right="32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 Integrate into practice the best use of corneal crosslinking for the treatment of keratoconus and post-refractive surgery ectasia.</w:t>
      </w:r>
      <w:r w:rsidRPr="00522A80">
        <w:rPr>
          <w:bCs/>
          <w:iCs/>
          <w:sz w:val="22"/>
          <w:szCs w:val="22"/>
        </w:rPr>
        <w:fldChar w:fldCharType="end"/>
      </w:r>
    </w:p>
    <w:p w:rsidR="002C184B" w:rsidRDefault="009E61E6" w:rsidP="00555DB6">
      <w:pPr>
        <w:ind w:left="450" w:right="288"/>
        <w:rPr>
          <w:sz w:val="22"/>
          <w:szCs w:val="22"/>
        </w:rPr>
        <w:sectPr w:rsidR="002C184B" w:rsidSect="003936BF">
          <w:type w:val="continuous"/>
          <w:pgSz w:w="12240" w:h="15840"/>
          <w:pgMar w:top="720" w:right="900" w:bottom="864" w:left="576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360"/>
        </w:sectPr>
      </w:pPr>
    </w:p>
    <w:p w:rsidR="002C184B" w:rsidRDefault="009E61E6" w:rsidP="00555DB6">
      <w:pPr>
        <w:spacing w:line="240" w:lineRule="exact"/>
        <w:ind w:right="-36"/>
        <w:rPr>
          <w:b/>
          <w:sz w:val="22"/>
          <w:szCs w:val="22"/>
        </w:rPr>
      </w:pPr>
    </w:p>
    <w:p w:rsidR="008A53FF" w:rsidRPr="00806477" w:rsidRDefault="009E61E6" w:rsidP="0022334C">
      <w:pPr>
        <w:spacing w:line="240" w:lineRule="exact"/>
        <w:ind w:left="450" w:right="-36"/>
        <w:rPr>
          <w:b/>
          <w:sz w:val="22"/>
          <w:szCs w:val="22"/>
        </w:rPr>
      </w:pPr>
      <w:r w:rsidRPr="00806477">
        <w:rPr>
          <w:b/>
          <w:sz w:val="22"/>
          <w:szCs w:val="22"/>
        </w:rPr>
        <w:t>Accreditation Statement:</w:t>
      </w:r>
      <w:r w:rsidRPr="00806477">
        <w:rPr>
          <w:b/>
          <w:sz w:val="22"/>
          <w:szCs w:val="22"/>
        </w:rPr>
        <w:t xml:space="preserve">  </w:t>
      </w:r>
    </w:p>
    <w:p w:rsidR="00090473" w:rsidRDefault="009E61E6" w:rsidP="00090473">
      <w:pPr>
        <w:spacing w:line="240" w:lineRule="exact"/>
        <w:ind w:left="450" w:right="-36"/>
        <w:rPr>
          <w:sz w:val="22"/>
          <w:szCs w:val="22"/>
        </w:rPr>
      </w:pPr>
      <w:r w:rsidRPr="00806477">
        <w:rPr>
          <w:sz w:val="22"/>
          <w:szCs w:val="22"/>
        </w:rPr>
        <w:t xml:space="preserve">The Wills Eye </w:t>
      </w:r>
      <w:r w:rsidRPr="00806477">
        <w:rPr>
          <w:sz w:val="22"/>
          <w:szCs w:val="22"/>
        </w:rPr>
        <w:t>Hospital</w:t>
      </w:r>
      <w:r w:rsidRPr="00806477">
        <w:rPr>
          <w:sz w:val="22"/>
          <w:szCs w:val="22"/>
        </w:rPr>
        <w:t xml:space="preserve"> is accredited by the </w:t>
      </w:r>
      <w:r>
        <w:rPr>
          <w:sz w:val="22"/>
          <w:szCs w:val="22"/>
        </w:rPr>
        <w:t>Accreditation Council for Continuing Medical Education</w:t>
      </w:r>
      <w:r w:rsidRPr="00806477">
        <w:rPr>
          <w:sz w:val="22"/>
          <w:szCs w:val="22"/>
        </w:rPr>
        <w:t xml:space="preserve"> to provide continuing medical education for physicians. Wills Eye </w:t>
      </w:r>
      <w:r w:rsidRPr="00806477">
        <w:rPr>
          <w:sz w:val="22"/>
          <w:szCs w:val="22"/>
        </w:rPr>
        <w:t>Hospital</w:t>
      </w:r>
      <w:r w:rsidRPr="00806477">
        <w:rPr>
          <w:sz w:val="22"/>
          <w:szCs w:val="22"/>
        </w:rPr>
        <w:t xml:space="preserve"> designates this live educational activity for a maximum of </w:t>
      </w:r>
      <w:r>
        <w:rPr>
          <w:noProof/>
          <w:sz w:val="22"/>
          <w:szCs w:val="22"/>
        </w:rPr>
        <w:t>12.00</w:t>
      </w:r>
      <w:r w:rsidRPr="00806477">
        <w:rPr>
          <w:sz w:val="22"/>
          <w:szCs w:val="22"/>
        </w:rPr>
        <w:t xml:space="preserve"> </w:t>
      </w:r>
      <w:r w:rsidRPr="00806477">
        <w:rPr>
          <w:i/>
          <w:sz w:val="22"/>
          <w:szCs w:val="22"/>
        </w:rPr>
        <w:t xml:space="preserve">AMA PRA </w:t>
      </w:r>
      <w:r w:rsidRPr="00806477">
        <w:rPr>
          <w:i/>
          <w:sz w:val="22"/>
          <w:szCs w:val="22"/>
        </w:rPr>
        <w:t>Category 1 Credits</w:t>
      </w:r>
      <w:r w:rsidRPr="00806477">
        <w:rPr>
          <w:i/>
          <w:sz w:val="22"/>
          <w:szCs w:val="22"/>
          <w:vertAlign w:val="superscript"/>
        </w:rPr>
        <w:t>™</w:t>
      </w:r>
      <w:r w:rsidRPr="00806477">
        <w:rPr>
          <w:sz w:val="22"/>
          <w:szCs w:val="22"/>
        </w:rPr>
        <w:t>.  Physicians should claim only the credit commensurate with the extent of their participation in the activity.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IF 12.00 &gt; 0 "</w:instrText>
      </w:r>
    </w:p>
    <w:p w:rsidR="00090473" w:rsidRDefault="009E61E6" w:rsidP="00090473">
      <w:pPr>
        <w:spacing w:line="240" w:lineRule="exact"/>
        <w:ind w:left="450" w:right="-36"/>
        <w:rPr>
          <w:sz w:val="22"/>
          <w:szCs w:val="22"/>
        </w:rPr>
      </w:pPr>
    </w:p>
    <w:p w:rsidR="00090473" w:rsidRDefault="009E61E6" w:rsidP="00090473">
      <w:pPr>
        <w:spacing w:line="240" w:lineRule="exact"/>
        <w:ind w:left="450" w:right="-36"/>
        <w:rPr>
          <w:sz w:val="22"/>
          <w:szCs w:val="22"/>
        </w:rPr>
      </w:pPr>
      <w:r>
        <w:rPr>
          <w:b/>
          <w:bCs/>
          <w:sz w:val="22"/>
          <w:szCs w:val="22"/>
        </w:rPr>
        <w:instrText>MOC Statement</w:instrText>
      </w:r>
    </w:p>
    <w:p w:rsidR="00A5027A" w:rsidRDefault="009E61E6" w:rsidP="00A5027A">
      <w:pPr>
        <w:spacing w:line="240" w:lineRule="exact"/>
        <w:ind w:left="450" w:right="-36"/>
        <w:rPr>
          <w:sz w:val="22"/>
          <w:szCs w:val="22"/>
        </w:rPr>
      </w:pPr>
      <w:r w:rsidRPr="00090473">
        <w:rPr>
          <w:sz w:val="22"/>
          <w:szCs w:val="22"/>
        </w:rPr>
        <w:instrText>Successful completion of this CME activity, which includes participation in the evaluation comp</w:instrText>
      </w:r>
      <w:r w:rsidRPr="00090473">
        <w:rPr>
          <w:sz w:val="22"/>
          <w:szCs w:val="22"/>
        </w:rPr>
        <w:instrText>onent, enables the learner to satisfy the Lifelong Learning, Self-Assessment, Improvement in Medical Practice and/or Patient Safety requirements for the American Board of Ophthalmology’s Continuing Certification program. It is the CME activity provider's r</w:instrText>
      </w:r>
      <w:r w:rsidRPr="00090473">
        <w:rPr>
          <w:sz w:val="22"/>
          <w:szCs w:val="22"/>
        </w:rPr>
        <w:instrText>esponsibility to submit learner completion information to ACCME for the purpose of granting credit.</w:instrText>
      </w:r>
      <w:r>
        <w:rPr>
          <w:sz w:val="22"/>
          <w:szCs w:val="22"/>
        </w:rPr>
        <w:instrText>"</w:instrText>
      </w:r>
      <w:r>
        <w:rPr>
          <w:sz w:val="22"/>
          <w:szCs w:val="22"/>
        </w:rPr>
        <w:instrText xml:space="preserve"> ""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</w:p>
    <w:p w:rsidR="00090473" w:rsidRDefault="009E61E6" w:rsidP="00090473">
      <w:pPr>
        <w:spacing w:line="240" w:lineRule="exact"/>
        <w:ind w:left="450" w:right="-36"/>
        <w:rPr>
          <w:sz w:val="22"/>
          <w:szCs w:val="22"/>
        </w:rPr>
      </w:pPr>
    </w:p>
    <w:p w:rsidR="00090473" w:rsidRDefault="009E61E6" w:rsidP="00090473">
      <w:pPr>
        <w:spacing w:line="240" w:lineRule="exact"/>
        <w:ind w:left="450" w:right="-36"/>
        <w:rPr>
          <w:sz w:val="22"/>
          <w:szCs w:val="22"/>
        </w:rPr>
      </w:pPr>
      <w:r>
        <w:rPr>
          <w:b/>
          <w:bCs/>
          <w:sz w:val="22"/>
          <w:szCs w:val="22"/>
        </w:rPr>
        <w:t>MOC Statement</w:t>
      </w:r>
    </w:p>
    <w:p w:rsidR="00666F77" w:rsidRDefault="009E61E6" w:rsidP="00A5027A">
      <w:pPr>
        <w:spacing w:line="240" w:lineRule="exact"/>
        <w:ind w:left="450" w:right="-36"/>
        <w:rPr>
          <w:sz w:val="22"/>
          <w:szCs w:val="22"/>
        </w:rPr>
      </w:pPr>
      <w:r w:rsidRPr="00090473">
        <w:rPr>
          <w:sz w:val="22"/>
          <w:szCs w:val="22"/>
        </w:rPr>
        <w:t>Successful completion of this CME activity, which includes participation in the evaluation component, enables the learner to satisfy the</w:t>
      </w:r>
      <w:r w:rsidRPr="00090473">
        <w:rPr>
          <w:sz w:val="22"/>
          <w:szCs w:val="22"/>
        </w:rPr>
        <w:t xml:space="preserve"> Lifelong Learning, Self-Assessment, Improvement in Medical Practice and/or Patient Safety requirements for the American Board of Ophthalmology’s Continuing Certification program. It is the CME activity provider's responsibility to submit learner completio</w:t>
      </w:r>
      <w:r w:rsidRPr="00090473">
        <w:rPr>
          <w:sz w:val="22"/>
          <w:szCs w:val="22"/>
        </w:rPr>
        <w:t>n information to ACCME for the purpose of granting credit.</w:t>
      </w:r>
      <w:r>
        <w:rPr>
          <w:sz w:val="22"/>
          <w:szCs w:val="22"/>
        </w:rPr>
        <w:fldChar w:fldCharType="end"/>
      </w:r>
    </w:p>
    <w:p w:rsidR="00A5027A" w:rsidRPr="00A5027A" w:rsidRDefault="009E61E6" w:rsidP="00A5027A">
      <w:pPr>
        <w:spacing w:line="240" w:lineRule="exact"/>
        <w:ind w:left="450" w:right="-36"/>
        <w:rPr>
          <w:sz w:val="22"/>
          <w:szCs w:val="22"/>
        </w:rPr>
      </w:pPr>
    </w:p>
    <w:p w:rsidR="008A53FF" w:rsidRPr="00806477" w:rsidRDefault="009E61E6" w:rsidP="0022334C">
      <w:pPr>
        <w:ind w:left="450" w:right="-36"/>
        <w:rPr>
          <w:sz w:val="22"/>
          <w:szCs w:val="22"/>
        </w:rPr>
      </w:pPr>
      <w:r>
        <w:rPr>
          <w:b/>
          <w:sz w:val="22"/>
          <w:szCs w:val="22"/>
        </w:rPr>
        <w:t>Disclosure Statement:</w:t>
      </w:r>
    </w:p>
    <w:p w:rsidR="00B95720" w:rsidRDefault="009E61E6" w:rsidP="00B95720">
      <w:pPr>
        <w:ind w:left="450" w:right="288"/>
        <w:rPr>
          <w:sz w:val="22"/>
          <w:szCs w:val="22"/>
        </w:rPr>
      </w:pPr>
      <w:r>
        <w:rPr>
          <w:sz w:val="22"/>
          <w:szCs w:val="22"/>
        </w:rPr>
        <w:t xml:space="preserve">It </w:t>
      </w:r>
      <w:r w:rsidRPr="00EF70BB">
        <w:rPr>
          <w:sz w:val="22"/>
          <w:szCs w:val="22"/>
        </w:rPr>
        <w:t>is the policy of Wills Eye Hospital that the information presented at Wills Eye Hospital's CME activities will be commercially unbiased and based on scientific and clin</w:t>
      </w:r>
      <w:r w:rsidRPr="00EF70BB">
        <w:rPr>
          <w:sz w:val="22"/>
          <w:szCs w:val="22"/>
        </w:rPr>
        <w:t>ical evidence. To help participants make judgments about the presence of commercial bias, Wills Eye Hospital provide</w:t>
      </w:r>
      <w:r>
        <w:rPr>
          <w:sz w:val="22"/>
          <w:szCs w:val="22"/>
        </w:rPr>
        <w:t>s</w:t>
      </w:r>
      <w:r w:rsidRPr="00EF70BB">
        <w:rPr>
          <w:sz w:val="22"/>
          <w:szCs w:val="22"/>
        </w:rPr>
        <w:t xml:space="preserve"> information that planners and speakers have disclosed about financial relationships they have with commercial entities that produce, market, re-sell</w:t>
      </w:r>
      <w:r>
        <w:rPr>
          <w:sz w:val="22"/>
          <w:szCs w:val="22"/>
        </w:rPr>
        <w:t>, or distribute</w:t>
      </w:r>
      <w:r w:rsidRPr="00EF70BB">
        <w:rPr>
          <w:sz w:val="22"/>
          <w:szCs w:val="22"/>
        </w:rPr>
        <w:t xml:space="preserve"> health care goods or services consumed by, or used on, patients. </w:t>
      </w:r>
      <w:r>
        <w:rPr>
          <w:sz w:val="22"/>
          <w:szCs w:val="22"/>
        </w:rPr>
        <w:t>All relevant financial rel</w:t>
      </w:r>
      <w:r>
        <w:rPr>
          <w:sz w:val="22"/>
          <w:szCs w:val="22"/>
        </w:rPr>
        <w:t>ationships have been mitigated.</w:t>
      </w:r>
    </w:p>
    <w:p w:rsidR="00555DB6" w:rsidRDefault="009E61E6" w:rsidP="00B95720">
      <w:pPr>
        <w:ind w:left="450" w:right="288"/>
        <w:rPr>
          <w:sz w:val="22"/>
          <w:szCs w:val="22"/>
        </w:rPr>
      </w:pPr>
    </w:p>
    <w:p w:rsidR="00244E48" w:rsidRDefault="009E61E6" w:rsidP="00422C29">
      <w:pPr>
        <w:ind w:left="450" w:right="288" w:firstLine="270"/>
        <w:rPr>
          <w:b/>
          <w:szCs w:val="24"/>
          <w:u w:val="single"/>
        </w:rPr>
        <w:sectPr w:rsidR="00244E48" w:rsidSect="003936BF">
          <w:type w:val="continuous"/>
          <w:pgSz w:w="12240" w:h="15840"/>
          <w:pgMar w:top="720" w:right="900" w:bottom="864" w:left="576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360"/>
        </w:sect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39"/>
        <w:gridCol w:w="4061"/>
      </w:tblGrid>
      <w:tr w:rsidR="000E563C" w:rsidTr="00E75355">
        <w:trPr>
          <w:tblCellSpacing w:w="15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0E563C" w:rsidRDefault="009E61E6">
            <w:pPr>
              <w:jc w:val="center"/>
            </w:pPr>
            <w:r>
              <w:rPr>
                <w:b/>
              </w:rPr>
              <w:t>Name of individual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0E563C" w:rsidRDefault="009E61E6">
            <w:pPr>
              <w:jc w:val="center"/>
            </w:pPr>
            <w:r>
              <w:rPr>
                <w:b/>
              </w:rPr>
              <w:t>Individual's role in activity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0E563C" w:rsidRDefault="009E61E6">
            <w:pPr>
              <w:jc w:val="center"/>
            </w:pPr>
            <w:r>
              <w:rPr>
                <w:b/>
              </w:rPr>
              <w:t>Name of commercial interest/Nature of relationship</w:t>
            </w:r>
          </w:p>
        </w:tc>
      </w:tr>
      <w:tr w:rsidR="000E56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63C" w:rsidRDefault="009E61E6">
            <w:r>
              <w:lastRenderedPageBreak/>
              <w:t>Christopher J. Rapuano,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63C" w:rsidRDefault="009E61E6">
            <w:r>
              <w:t>Course Director, 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63C" w:rsidRDefault="009E61E6">
            <w:r>
              <w:t xml:space="preserve">Consulting </w:t>
            </w:r>
            <w:r>
              <w:t>Fee-Bio-Tissue|Consulting Fee-Dompé |Consulting Fee-Glaukos Corporation|Consulting Fee-Kala Pharmaceuticals|Consulting Fee-Oyster Point Pharmaceuticals|Consulting Fee-Sun Pharmaceutical Industries|Consulting Fee-TearLab|Honoraria-Dompé  - 10/05/20</w:t>
            </w:r>
            <w:bookmarkStart w:id="0" w:name="_GoBack"/>
            <w:bookmarkEnd w:id="0"/>
            <w:r>
              <w:t>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Adam Altman,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</w:t>
            </w:r>
            <w:r>
              <w:t>22</w:t>
            </w:r>
            <w:r>
              <w:t>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Winston D. Chamberlain, MD, PhD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Membership on Advisory Committees or Review Panels, Board Membership, etc.-Oyster Point Pharmaceuticals|Membership on Advisory Committees or Review Panels, Board Membership, etc.-Leo Pharma|Membership on Advisory Committees or Review Panels, Board Membership, etc.-Aslan Pharmceuticals|Advisor-Regeneron|Independent Contractor (included contracted research)-Kowa|Membership on Advisory Committees or Review Panels, Board Membership, etc.-Noveome|Paid consultant-Trefoil Therapeutics - 09/26/2021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Clark Chang,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Membership on Advisory Committees or Review Panels, Board Membership, etc.-Allergan|Speakers Bureau-Dompé |Membership on Advisory Committees or Review Panels, Board Membership, etc.-Eyenovia|Employment-Glaukos Corporation|Speakers Bureau-OCULUS Surgical, Inc.|Membership on Advisory Committees or Review Panels, Board Membership, etc.-Visus Therapeutics - 09/27/2021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Elliot G Cherkas, 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- 10/22/2021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Jessica B. Ciralsky,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Consulting Fee-Novartis-Relationship_has_ended|Consulting Fee-Johnson &amp; Johnson-Relationship_has_ended|Consulting Fee-Novartis-Relationship_has_ended - 10/01/2021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Brenton D. Finklea,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- 10/01/2021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Sadeer B. Hannush,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- 10/06/2021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lastRenderedPageBreak/>
              <w:t>Aditya Kanesa-thasan,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- 09/29/2021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Peter Laibson,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- 09/28/2021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Hannah J Levin, 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- 10/22/2021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Parveen K. Nagra,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- 09/29/2021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Glenn J Oh, 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- 10/22/2021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Ravi Patel, MD, 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Speakers Bureau-Allergan - 10/08/2021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Irving M. Raber,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- 09/28/2021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Mitchell P. Weikert,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Consulting Fee-Alcon|Consulting Fee-Avellino Labs, Inc.|Consulting Fee-Carl Zeiss - 09/24/2021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Brandon D. Ayres,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Faculty, Planner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Consulting Fee-Alcon|Consulting Fee-Allergan|Consulting Fee-Bausch + Lomb|Consulting Fee-Sun Pharmaceutical Industries|Consulting Fee-Novartis|Consulting Fee-Carl Zeiss|Consulting Fee-Omeros|Consulting Fee-Dompé  - 10/01/2021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Kristin M. Hammersmith,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Faculty, Planner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Nothing to disclose - 10/01/2021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Beeran Meghpara,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Faculty, Planner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Consulting Fee-EyeVance Pharmaceuticals|Consulting Fee-Sun Pharmaceutical Industries|Consulting Fee-Kala Pharmaceuticals|Consulting Fee-OCULUS Surgical, Inc.|Consulting Fee-Allergan|Consulting Fee-Sight Sciences|Consulting Fee-CorneaGen|Consulting Fee-Dompé |Consulting Fee-Ocular Therapeutix - 09/30/2021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Zeba A. Syed,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Faculty, Planner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Speakers Bureau-Bio-Tissue|Grant or research support-Dompé  - 09/27/2021</w:t>
            </w:r>
          </w:p>
        </w:tc>
      </w:tr>
      <w:tr w:rsidR="00E753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Ralph C. Eagle Jr.,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Other Planning Committee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355" w:rsidRDefault="00E75355" w:rsidP="00E75355">
            <w:r>
              <w:t>Stock Shareholder-Merck - 08/16/2021</w:t>
            </w:r>
          </w:p>
        </w:tc>
      </w:tr>
    </w:tbl>
    <w:p w:rsidR="00B95720" w:rsidRPr="002C184B" w:rsidRDefault="009E61E6">
      <w:pPr>
        <w:spacing w:after="280" w:afterAutospacing="1"/>
        <w:rPr>
          <w:b/>
          <w:szCs w:val="24"/>
          <w:u w:val="single"/>
        </w:rPr>
      </w:pPr>
    </w:p>
    <w:p w:rsidR="00B46632" w:rsidRDefault="009E61E6" w:rsidP="00EF70BB">
      <w:pPr>
        <w:ind w:left="450" w:right="-36"/>
        <w:rPr>
          <w:sz w:val="22"/>
          <w:szCs w:val="22"/>
        </w:rPr>
      </w:pPr>
    </w:p>
    <w:p w:rsidR="00244E48" w:rsidRDefault="009E61E6" w:rsidP="00EF70BB">
      <w:pPr>
        <w:ind w:left="450" w:right="-36"/>
        <w:rPr>
          <w:sz w:val="22"/>
          <w:szCs w:val="22"/>
        </w:rPr>
        <w:sectPr w:rsidR="00244E48" w:rsidSect="00122F0D">
          <w:type w:val="continuous"/>
          <w:pgSz w:w="12240" w:h="15840"/>
          <w:pgMar w:top="720" w:right="1044" w:bottom="864" w:left="1026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360"/>
        </w:sectPr>
      </w:pPr>
    </w:p>
    <w:p w:rsidR="00B95720" w:rsidRPr="00EF70BB" w:rsidRDefault="009E61E6" w:rsidP="00EF70BB">
      <w:pPr>
        <w:ind w:left="450" w:right="-3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3571875</wp:posOffset>
            </wp:positionH>
            <wp:positionV relativeFrom="page">
              <wp:posOffset>8915400</wp:posOffset>
            </wp:positionV>
            <wp:extent cx="630936" cy="630936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95720" w:rsidRPr="00EF70BB" w:rsidSect="003936BF">
      <w:type w:val="continuous"/>
      <w:pgSz w:w="12240" w:h="15840"/>
      <w:pgMar w:top="720" w:right="900" w:bottom="864" w:left="576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0E12"/>
    <w:multiLevelType w:val="hybridMultilevel"/>
    <w:tmpl w:val="4A1EF7FE"/>
    <w:lvl w:ilvl="0" w:tplc="E990C6E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9744AC8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B16ABBB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00E2EEE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BB52EE6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6A4158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7F88F3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9A61EE6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796932C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6393893"/>
    <w:multiLevelType w:val="hybridMultilevel"/>
    <w:tmpl w:val="1E0289A2"/>
    <w:lvl w:ilvl="0" w:tplc="39D4C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2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06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AB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C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48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5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0C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A0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C99"/>
    <w:multiLevelType w:val="hybridMultilevel"/>
    <w:tmpl w:val="9A54FFFA"/>
    <w:lvl w:ilvl="0" w:tplc="200CB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8F5EA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25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00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E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22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D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43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E0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0787"/>
    <w:multiLevelType w:val="hybridMultilevel"/>
    <w:tmpl w:val="CCF468AE"/>
    <w:lvl w:ilvl="0" w:tplc="F0BAA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08E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42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8F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0E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41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E8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4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21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FA143B-070F-48B4-9976-1DE4E7EB1B65}"/>
    <w:docVar w:name="dgnword-eventsink" w:val="2817708576432"/>
  </w:docVars>
  <w:rsids>
    <w:rsidRoot w:val="000E563C"/>
    <w:rsid w:val="000E563C"/>
    <w:rsid w:val="009E61E6"/>
    <w:rsid w:val="00E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1C94"/>
  <w15:docId w15:val="{FD7985F5-FCF5-4AD8-9B6A-D0DD17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216F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7A216F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8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A21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1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7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6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6D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666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6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719DA-3949-4AC2-BB84-491544E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Manes</dc:creator>
  <cp:lastModifiedBy>Susan Kotwicki</cp:lastModifiedBy>
  <cp:revision>2</cp:revision>
  <cp:lastPrinted>2015-01-15T13:54:00Z</cp:lastPrinted>
  <dcterms:created xsi:type="dcterms:W3CDTF">2021-10-22T20:34:00Z</dcterms:created>
  <dcterms:modified xsi:type="dcterms:W3CDTF">2021-10-22T20:34:00Z</dcterms:modified>
</cp:coreProperties>
</file>