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22"/>
          <w:szCs w:val="22"/>
        </w:rPr>
      </w:pPr>
    </w:p>
    <w:p w:rsidR="006F6E4E" w:rsidRPr="006F6E4E" w:rsidRDefault="006F6E4E" w:rsidP="006F6E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Cs/>
          <w:color w:val="201F1E"/>
          <w:sz w:val="28"/>
          <w:szCs w:val="28"/>
        </w:rPr>
      </w:pPr>
      <w:r w:rsidRPr="006F6E4E">
        <w:rPr>
          <w:rFonts w:ascii="Calibri" w:hAnsi="Calibri" w:cs="Calibri"/>
          <w:b/>
          <w:iCs/>
          <w:color w:val="201F1E"/>
          <w:sz w:val="28"/>
          <w:szCs w:val="28"/>
        </w:rPr>
        <w:t>WILLS EYE PUBLICATIONS LIST – MAY 2021</w:t>
      </w:r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01F1E"/>
          <w:sz w:val="18"/>
          <w:szCs w:val="18"/>
        </w:rPr>
      </w:pPr>
      <w:r w:rsidRPr="006F6E4E">
        <w:rPr>
          <w:rFonts w:ascii="Calibri" w:hAnsi="Calibri" w:cs="Calibri"/>
          <w:i/>
          <w:iCs/>
          <w:color w:val="201F1E"/>
          <w:sz w:val="18"/>
          <w:szCs w:val="18"/>
        </w:rPr>
        <w:t>*A Wills Eye affiliation search function was used in PubMed to populate the list below.  Any manuscripts published in May 2021 under a different affiliation and/or not present on PubMed was not included in this list.)</w:t>
      </w: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Pr="002B11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7A3089">
        <w:rPr>
          <w:rFonts w:ascii="Calibri" w:hAnsi="Calibri" w:cs="Calibri"/>
          <w:b/>
          <w:color w:val="201F1E"/>
        </w:rPr>
        <w:t>CORNEA</w:t>
      </w: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Cinar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Y, Han CC,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Sahin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Syed ZA</w:t>
      </w:r>
      <w:r>
        <w:rPr>
          <w:rFonts w:ascii="Calibri" w:hAnsi="Calibri" w:cs="Calibri"/>
          <w:color w:val="201F1E"/>
          <w:sz w:val="22"/>
          <w:szCs w:val="22"/>
        </w:rPr>
        <w:t xml:space="preserve">. Long term results of accelerated corneal collagen cross-linking in pediatric keratoconus.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Eur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 2021 May 20:</w:t>
      </w: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11206721211018362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10.1177/11206721211018362.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34015954. 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https://pubmed.ncbi.nlm.nih.gov/34015954/</w:t>
        </w:r>
      </w:hyperlink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</w:rPr>
        <w:t>Koo EH,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Hannush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SB</w:t>
      </w:r>
      <w:r>
        <w:rPr>
          <w:rFonts w:ascii="Calibri" w:hAnsi="Calibri" w:cs="Calibri"/>
          <w:color w:val="201F1E"/>
          <w:sz w:val="22"/>
          <w:szCs w:val="22"/>
        </w:rPr>
        <w:t xml:space="preserve">. Challenges in management of the Boston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Keratoprosthesis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Type 1.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Curr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 [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 2021 May 10] 2021 Jul 1;32(4):385-388.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10.1097/ICU.0000000000000774. PMID: 33973907. 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https://pubmed.ncbi.nlm.nih.gov/33973907/</w:t>
        </w:r>
      </w:hyperlink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Karadag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Hammersmith KM,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Nagra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PK,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Rapuano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CJ</w:t>
      </w:r>
      <w:r>
        <w:rPr>
          <w:rFonts w:ascii="Calibri" w:hAnsi="Calibri" w:cs="Calibri"/>
          <w:color w:val="201F1E"/>
          <w:sz w:val="22"/>
          <w:szCs w:val="22"/>
        </w:rPr>
        <w:t xml:space="preserve">. Anterior Chamber Characteristics, Endothelial Parameters, and Corneal Densitometry After Descemet Stripping Automated Endothelial Keratoplasty in Patients With Fuchs Dystrophy. J Ophthalmic Vis Res. 2021 Apr 29;16(2):158-164.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10.18502/jovr.v16i2.9078. PMID: 34055252; PMCID: PMC8126739. 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https://pubmed.ncbi.nlm.nih.gov/34055252/</w:t>
        </w:r>
      </w:hyperlink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Pr="002B11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8"/>
          <w:szCs w:val="28"/>
        </w:rPr>
      </w:pPr>
      <w:r w:rsidRPr="002B1189">
        <w:rPr>
          <w:rFonts w:ascii="Calibri" w:hAnsi="Calibri" w:cs="Calibri"/>
          <w:b/>
          <w:color w:val="201F1E"/>
        </w:rPr>
        <w:t>G</w:t>
      </w:r>
      <w:r w:rsidRPr="007A3089">
        <w:rPr>
          <w:rFonts w:ascii="Calibri" w:hAnsi="Calibri" w:cs="Calibri"/>
          <w:b/>
          <w:color w:val="201F1E"/>
        </w:rPr>
        <w:t>LAUCOMA</w:t>
      </w: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Kolomeyer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NN, Myers JS</w:t>
      </w:r>
      <w:r>
        <w:rPr>
          <w:rFonts w:ascii="Calibri" w:hAnsi="Calibri" w:cs="Calibri"/>
          <w:color w:val="201F1E"/>
          <w:sz w:val="22"/>
          <w:szCs w:val="22"/>
        </w:rPr>
        <w:t xml:space="preserve">. Commentary regarding video-based telemedicine triage in emergency ophthalmology during COVID-19.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EClinicalMedicine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Jun;36:100870.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10.1016/j.eclinm.2021.100870.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2021 May 29. PMID: 34095790; PMCID: PMC8164391. 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https://pubmed.ncbi.nlm.nih.gov/34095790/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>
        <w:rPr>
          <w:rFonts w:ascii="Calibri" w:hAnsi="Calibri" w:cs="Calibri"/>
          <w:color w:val="201F1E"/>
          <w:sz w:val="22"/>
          <w:szCs w:val="22"/>
        </w:rPr>
        <w:t>Kang JM,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Chatterjee A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Rosdahl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JA, Bosworth HB,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Woolson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S, Olsen M, Sexton M, Kirshner M, Muir KW. Health literacy and success with glaucoma drop administration.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Glaucoma. 2021 May 27:S2589-4196(21)00136-8.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10.1016/j.ogla.2021.05.004.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34052458. 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https://pubmed.ncbi.nlm.nih.gov/34052458/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Baker ND,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Barnebey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HS,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Moster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MR</w:t>
      </w:r>
      <w:r>
        <w:rPr>
          <w:rFonts w:ascii="Calibri" w:hAnsi="Calibri" w:cs="Calibri"/>
          <w:color w:val="201F1E"/>
          <w:sz w:val="22"/>
          <w:szCs w:val="22"/>
        </w:rPr>
        <w:t xml:space="preserve">, Stiles MC,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Vold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SD,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Khatana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AK, Flowers BE, Grover DS,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Strouthidis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NG,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Panarelli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JF; INN005 study group. Ab-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externo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MicroShunt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versus Trabeculectomy in Primary Open-Angle Glaucoma: 1-year Results from a 2-year Randomized, Multicenter Study. Ophthalmology. 2021 May 26:S0161-6420(21)00384-5.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10.1016/j.ophtha.2021.05.023.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34051211. </w:t>
      </w:r>
      <w:hyperlink r:id="rId12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https://pubmed.ncbi.nlm.nih.gov/34051211/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Tran E</w:t>
      </w:r>
      <w:r>
        <w:rPr>
          <w:rFonts w:ascii="Calibri" w:hAnsi="Calibri" w:cs="Calibri"/>
          <w:color w:val="201F1E"/>
          <w:sz w:val="22"/>
          <w:szCs w:val="22"/>
        </w:rPr>
        <w:t>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Sanvicente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C</w:t>
      </w:r>
      <w:r>
        <w:rPr>
          <w:rFonts w:ascii="Calibri" w:hAnsi="Calibri" w:cs="Calibri"/>
          <w:color w:val="201F1E"/>
          <w:sz w:val="22"/>
          <w:szCs w:val="22"/>
        </w:rPr>
        <w:t>, Hark LA,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Myers JS, Zhang Q,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Shiuey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EJ</w:t>
      </w:r>
      <w:r>
        <w:rPr>
          <w:rFonts w:ascii="Calibri" w:hAnsi="Calibri" w:cs="Calibri"/>
          <w:color w:val="201F1E"/>
          <w:sz w:val="22"/>
          <w:szCs w:val="22"/>
        </w:rPr>
        <w:t xml:space="preserve">, Tran J,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Bonafede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L,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Hamershock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RA</w:t>
      </w:r>
      <w:r>
        <w:rPr>
          <w:rFonts w:ascii="Calibri" w:hAnsi="Calibri" w:cs="Calibri"/>
          <w:color w:val="201F1E"/>
          <w:sz w:val="22"/>
          <w:szCs w:val="22"/>
        </w:rPr>
        <w:t>, Withers C,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Katz LJ</w:t>
      </w:r>
      <w:r>
        <w:rPr>
          <w:rFonts w:ascii="Calibri" w:hAnsi="Calibri" w:cs="Calibri"/>
          <w:color w:val="201F1E"/>
          <w:sz w:val="22"/>
          <w:szCs w:val="22"/>
        </w:rPr>
        <w:t xml:space="preserve">. Educational intervention to adopt selective laser trabeculoplasty as first-line glaucoma treatment: Randomized controlled trial: Educational intervention on selective laser trabeculoplasty.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Eur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 2021 May 27:</w:t>
      </w:r>
      <w:hyperlink r:id="rId13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11206721211018365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10.1177/11206721211018365.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34041935. </w:t>
      </w:r>
      <w:hyperlink r:id="rId1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https://pubmed.ncbi.nlm.nih.gov/34041935/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Leiby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BE, Hegarty SE, Zhan T,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Myers JS, Katz LJ, Haller JA,</w:t>
      </w: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Waisbourd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M, Burns C,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Divers M,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Molineaux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J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Henderer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Brodowski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C, Hark LA. A Randomized Trial to Improve Adherence to Follow-up Eye Examinations Among People With Glaucoma.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Prev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Chronic Dis. 2021 May 20;18:E52.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10.5888/pcd18.200567. PMID: 34014814; PMCID: PMC8139485. </w:t>
      </w: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https://pubmed.ncbi.nlm.nih.gov/34014814/</w:t>
        </w:r>
      </w:hyperlink>
    </w:p>
    <w:p w:rsidR="007A3089" w:rsidRP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Shukla AG,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Shalaby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WS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Odayappan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 Venkatesh R,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Swenor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BK,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Ramulu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PY, Robin AL, Srinivasan K. Reply to Comment on: The Impact of COVID-19 on Individuals Across the Spectrum of Visual Impairment. Am 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May 11:S0002-9394(21)00275-0.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10.1016/j.ajo.2021.05.003.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33989595; PMCID: PMC8110623. </w:t>
      </w:r>
      <w:hyperlink r:id="rId1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https://pubmed.ncbi.nlm.nih.gov/33989595/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7A3089" w:rsidRP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7A3089">
        <w:rPr>
          <w:rFonts w:ascii="Calibri" w:hAnsi="Calibri" w:cs="Calibri"/>
          <w:b/>
          <w:color w:val="201F1E"/>
        </w:rPr>
        <w:t>OCULAR ONCOLOGY</w:t>
      </w: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Shields CL, Dockery PW,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Yaghy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</w:t>
      </w:r>
      <w:r>
        <w:rPr>
          <w:rFonts w:ascii="Calibri" w:hAnsi="Calibri" w:cs="Calibri"/>
          <w:color w:val="201F1E"/>
          <w:sz w:val="22"/>
          <w:szCs w:val="22"/>
        </w:rPr>
        <w:t>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Duffner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ER, Levin HJ, Taylor OS,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Sajjadi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Z</w:t>
      </w:r>
      <w:r>
        <w:rPr>
          <w:rFonts w:ascii="Calibri" w:hAnsi="Calibri" w:cs="Calibri"/>
          <w:color w:val="201F1E"/>
          <w:sz w:val="22"/>
          <w:szCs w:val="22"/>
        </w:rPr>
        <w:t>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Lally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SE, Shields JA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Rosenwasser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Tjoumakaris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Jabbour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P. Intra-arterial chemotherapy for retinoblastoma in 341 consecutive eyes (1,292 infusions): comparative analysis of outcomes based on patient age, race, and sex. J AAPOS. 2021 May 24:S1091-8531(21)00112-9.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10.1016/j.jaapos.2020.12.006.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34044113. </w:t>
      </w:r>
      <w:hyperlink r:id="rId1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https://pubmed.ncbi.nlm.nih.gov/34044113/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Shields CL, Srinivasan A, Lucio-Alvarez JA, Shields JA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Retinocytoma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/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retinoma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comparative analysis of clinical features in 78 tumors and rate of transformation into retinoblastoma over 20 years. J AAPOS. 2021 May 26:S1091-8531(21)00132-4.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10.1016/j.jaapos.2020.11.024.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34051357. </w:t>
      </w:r>
      <w:hyperlink r:id="rId1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https://pubmed.ncbi.nlm.nih.gov/34051357/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P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7A3089">
        <w:rPr>
          <w:rFonts w:ascii="Calibri" w:hAnsi="Calibri" w:cs="Calibri"/>
          <w:b/>
          <w:color w:val="201F1E"/>
        </w:rPr>
        <w:t>PEDIATRIC OPHTHALMOLOGY</w:t>
      </w:r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Thau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Saffren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B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Anderst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JD, Carpenter SL,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Levin AV</w:t>
      </w:r>
      <w:r>
        <w:rPr>
          <w:rFonts w:ascii="Calibri" w:hAnsi="Calibri" w:cs="Calibri"/>
          <w:color w:val="201F1E"/>
          <w:sz w:val="22"/>
          <w:szCs w:val="22"/>
        </w:rPr>
        <w:t xml:space="preserve">. A review on clotting disorders and retinal hemorrhages: Can they mimic abuse? Child Abuse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Negl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May 25;118:105070.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10.1016/j.chiabu.2021.105070.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34049052. </w:t>
      </w:r>
      <w:hyperlink r:id="rId1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https://pubmed.ncbi.nlm.nih.gov/34049052/</w:t>
        </w:r>
      </w:hyperlink>
    </w:p>
    <w:p w:rsidR="007A3089" w:rsidRDefault="007A3089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18"/>
          <w:szCs w:val="18"/>
        </w:rPr>
      </w:pPr>
    </w:p>
    <w:p w:rsidR="006F6E4E" w:rsidRPr="007A3089" w:rsidRDefault="007A3089" w:rsidP="006F6E4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</w:rPr>
      </w:pPr>
      <w:r w:rsidRPr="007A3089">
        <w:rPr>
          <w:rFonts w:ascii="Calibri" w:hAnsi="Calibri" w:cs="Calibri"/>
          <w:b/>
          <w:color w:val="201F1E"/>
        </w:rPr>
        <w:t>RETINA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Pulido JS,</w:t>
      </w:r>
      <w:r>
        <w:rPr>
          <w:rFonts w:ascii="Calibri" w:hAnsi="Calibri" w:cs="Calibri"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Dunavoelgyi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Milman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T, Shields CL</w:t>
      </w:r>
      <w:r>
        <w:rPr>
          <w:rFonts w:ascii="Calibri" w:hAnsi="Calibri" w:cs="Calibri"/>
          <w:color w:val="201F1E"/>
          <w:sz w:val="22"/>
          <w:szCs w:val="22"/>
        </w:rPr>
        <w:t>. Response to 'Comment on: 'Minimal residual disease-a novel concept in uveal melanoma". Eye (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Lond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). 2021 May 11.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10.1038/s41433-021-01576-0.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33976402. </w:t>
      </w:r>
      <w:hyperlink r:id="rId20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https://pubmed.ncbi.nlm.nih.gov/33976402/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Starr MR, Cai L, Obeid A</w:t>
      </w:r>
      <w:r>
        <w:rPr>
          <w:rFonts w:ascii="Calibri" w:hAnsi="Calibri" w:cs="Calibri"/>
          <w:color w:val="201F1E"/>
          <w:sz w:val="22"/>
          <w:szCs w:val="22"/>
        </w:rPr>
        <w:t xml:space="preserve">, Ryan EH,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Eliott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D, Ryan C, Forbes NJ,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Ammar M, Patel LG</w:t>
      </w:r>
      <w:r>
        <w:rPr>
          <w:rFonts w:ascii="Calibri" w:hAnsi="Calibri" w:cs="Calibri"/>
          <w:color w:val="201F1E"/>
          <w:sz w:val="22"/>
          <w:szCs w:val="22"/>
        </w:rPr>
        <w:t>, Capone A, Emerson GG, Joseph DP,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Gupta OP,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Regillo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CD, Hsu J,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Yonekawa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Y</w:t>
      </w:r>
      <w:r>
        <w:rPr>
          <w:rFonts w:ascii="Calibri" w:hAnsi="Calibri" w:cs="Calibri"/>
          <w:color w:val="201F1E"/>
          <w:sz w:val="22"/>
          <w:szCs w:val="22"/>
        </w:rPr>
        <w:t xml:space="preserve">; Primary Retinal Detachment Outcomes (PRO) Study Group. Risk Factors for Presence of Cystoid Macular Edema following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Rhegmatogenous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Retinal Detachment Surgery.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Curr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Eye Res. 2021 May 21:1-9.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10.1080/02713683.2021.1929330.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33979556. </w:t>
      </w:r>
      <w:hyperlink r:id="rId21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https://pubmed.ncbi.nlm.nih.gov/33979556/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 </w:t>
      </w:r>
    </w:p>
    <w:p w:rsidR="009C5A41" w:rsidRDefault="009C5A41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Li Y, Hall NE, Pershing S,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Hyman L, Haller JA</w:t>
      </w:r>
      <w:r>
        <w:rPr>
          <w:rFonts w:ascii="Calibri" w:hAnsi="Calibri" w:cs="Calibri"/>
          <w:color w:val="201F1E"/>
          <w:sz w:val="22"/>
          <w:szCs w:val="22"/>
        </w:rPr>
        <w:t xml:space="preserve">, Lee AY, Lee CS, Chiang M,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Lum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F, Miller JW, Lorch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Elze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T. Age, Gender, and Laterality of Retinal Vascular Occlusion: A Retrospective Study from the IRIS® Registry.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Retina. 2021 May 12:S2468-6530(21)00163-9.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10.1016/j.oret.2021.05.004.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33991710. </w:t>
      </w:r>
      <w:hyperlink r:id="rId22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https://pubmed.ncbi.nlm.nih.gov/33991710/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Garrigan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H,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Hamati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J,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Lalakia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Frasso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R, Salzman B,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Hyman L</w:t>
      </w:r>
      <w:r>
        <w:rPr>
          <w:rFonts w:ascii="Calibri" w:hAnsi="Calibri" w:cs="Calibri"/>
          <w:color w:val="201F1E"/>
          <w:sz w:val="22"/>
          <w:szCs w:val="22"/>
        </w:rPr>
        <w:t xml:space="preserve">. Does Age-Related Macular Degeneration (AMD) Treatment Influence Patient Falls and Mobility? A Systematic Review. Ophthalmic Epidemiol. 2021 May 17:1-11.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10.1080/09286586.2021.1921227.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33993827. </w:t>
      </w:r>
      <w:hyperlink r:id="rId23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https://pubmed.ncbi.nlm.nih.gov/33993827/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Jacobson SG,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Cideciyan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AV,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Ho AC</w:t>
      </w:r>
      <w:r>
        <w:rPr>
          <w:rFonts w:ascii="Calibri" w:hAnsi="Calibri" w:cs="Calibri"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Peshenko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IV,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Garafalo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AV, Roman AJ,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Sumaroka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 Wu V, Krishnan AK,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Sheplock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Boye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SL,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Dizhoor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AM,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Boye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SE. Safety and improved efficacy signals following gene therapy in childhood blindness caused by GUCY2D mutations.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iScience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Apr 11;24(5):102409.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: 10.1016/j.isci.2021.102409. PMID: 33997691; PMCID: PMC8099775. </w:t>
      </w:r>
      <w:hyperlink r:id="rId2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https://pubmed.ncbi.nlm.nih.gov/33997691/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Redick DW, Hwang JC,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Kloosterboer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Yannuzzi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NA, Patel NA,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Kuriyan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AE</w:t>
      </w:r>
      <w:r>
        <w:rPr>
          <w:rFonts w:ascii="Calibri" w:hAnsi="Calibri" w:cs="Calibri"/>
          <w:color w:val="201F1E"/>
          <w:sz w:val="22"/>
          <w:szCs w:val="22"/>
        </w:rPr>
        <w:t xml:space="preserve">, Sridhar J. Content, Readability, and Accountability of Freely Available Online Information for Patients Regarding Epiretinal Membranes.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Semin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May 16:1-4.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10.1080/08820538.2021.1913192.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33998392. </w:t>
      </w:r>
      <w:hyperlink r:id="rId2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https://pubmed.ncbi.nlm.nih.gov/33998392/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Patel SN,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Salabati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Mahmoudzadeh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R, Obeid A,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Kuriyan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AE,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Yonekawa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Y,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Klufas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MA, Garg SJ, Hsu J, Khan MA</w:t>
      </w:r>
      <w:r>
        <w:rPr>
          <w:rFonts w:ascii="Calibri" w:hAnsi="Calibri" w:cs="Calibri"/>
          <w:color w:val="201F1E"/>
          <w:sz w:val="22"/>
          <w:szCs w:val="22"/>
        </w:rPr>
        <w:t xml:space="preserve">. Surgical failures after primary scleral buckling for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rhegmatogenous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retinal detachment: comparison of eyes with and without proliferative vitreoretinopathy. Retina. 2021 May 10.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10.1097/IAE.0000000000003214.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34001820. </w:t>
      </w:r>
      <w:hyperlink r:id="rId2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https://pubmed.ncbi.nlm.nih.gov/34001820/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Soares RR, Cai L, Bowe T, Samuelson A, Liu C, Parikh D, Patel S, Hinkle J,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Yonekawa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Y.</w:t>
      </w:r>
      <w:r>
        <w:rPr>
          <w:rFonts w:ascii="Calibri" w:hAnsi="Calibri" w:cs="Calibri"/>
          <w:color w:val="201F1E"/>
          <w:sz w:val="22"/>
          <w:szCs w:val="22"/>
        </w:rPr>
        <w:t xml:space="preserve"> Geographic Access Disparities to Clinical Trials in Retinopathy of Prematurity in the United States. Retina. 2021 May 13.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10.1097/IAE.0000000000003218.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34001822. </w:t>
      </w:r>
      <w:hyperlink r:id="rId2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https://pubmed.ncbi.nlm.nih.gov/34001822/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Sharma A, Kumar N,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Parachuri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N, Singh S, Bandello F,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Regillo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CD</w:t>
      </w:r>
      <w:r>
        <w:rPr>
          <w:rFonts w:ascii="Calibri" w:hAnsi="Calibri" w:cs="Calibri"/>
          <w:color w:val="201F1E"/>
          <w:sz w:val="22"/>
          <w:szCs w:val="22"/>
        </w:rPr>
        <w:t xml:space="preserve">, Boyer D, Nguyen QD. Understanding Retinal Vasculitis Associated with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Brolucizumab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Complex Pathophysiology or Occam's Razor?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Ocul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Immunol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Inflamm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May 20:1-3.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10.1080/09273948.2021.1897628.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34014141. </w:t>
      </w:r>
      <w:hyperlink r:id="rId2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https://pubmed.ncbi.nlm.nih.gov/34014141/</w:t>
        </w:r>
      </w:hyperlink>
    </w:p>
    <w:p w:rsidR="006F6E4E" w:rsidRDefault="006F6E4E" w:rsidP="006F6E4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6F6E4E" w:rsidRDefault="006F6E4E" w:rsidP="007A30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</w:rPr>
        <w:t>Watane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Kalavar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M, Patel M,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Yannuzzi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N,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Vanner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EA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Kuriyan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AE</w:t>
      </w:r>
      <w:r>
        <w:rPr>
          <w:rFonts w:ascii="Calibri" w:hAnsi="Calibri" w:cs="Calibri"/>
          <w:color w:val="201F1E"/>
          <w:sz w:val="22"/>
          <w:szCs w:val="22"/>
        </w:rPr>
        <w:t xml:space="preserve">, Sridhar J. A 5-Year Analysis of Physician-Industry Interactions, Physician Gender, and Anti-VEGF Use in US Ophthalmologists.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Semin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Ophthalmol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2021 May 23:1-8.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: 10.1080/08820538.2021.1922710.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ahead of print. PMID: 34024227. </w:t>
      </w:r>
      <w:hyperlink r:id="rId2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https://pubmed.ncbi.nlm.nih.gov/34024227/</w:t>
        </w:r>
      </w:hyperlink>
      <w:r w:rsidR="007A3089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637536" w:rsidRDefault="00637536"/>
    <w:sectPr w:rsidR="00637536" w:rsidSect="00E87695">
      <w:headerReference w:type="default" r:id="rId30"/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AC" w:rsidRDefault="001043AC" w:rsidP="006F6E4E">
      <w:r>
        <w:separator/>
      </w:r>
    </w:p>
  </w:endnote>
  <w:endnote w:type="continuationSeparator" w:id="0">
    <w:p w:rsidR="001043AC" w:rsidRDefault="001043AC" w:rsidP="006F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2507869"/>
      <w:docPartObj>
        <w:docPartGallery w:val="Page Numbers (Bottom of Page)"/>
        <w:docPartUnique/>
      </w:docPartObj>
    </w:sdtPr>
    <w:sdtContent>
      <w:p w:rsidR="002B1189" w:rsidRDefault="002B1189" w:rsidP="000667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B1189" w:rsidRDefault="002B1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2016281"/>
      <w:docPartObj>
        <w:docPartGallery w:val="Page Numbers (Bottom of Page)"/>
        <w:docPartUnique/>
      </w:docPartObj>
    </w:sdtPr>
    <w:sdtContent>
      <w:p w:rsidR="002B1189" w:rsidRDefault="002B1189" w:rsidP="000667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B1189" w:rsidRDefault="002B1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AC" w:rsidRDefault="001043AC" w:rsidP="006F6E4E">
      <w:r>
        <w:separator/>
      </w:r>
    </w:p>
  </w:footnote>
  <w:footnote w:type="continuationSeparator" w:id="0">
    <w:p w:rsidR="001043AC" w:rsidRDefault="001043AC" w:rsidP="006F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4E" w:rsidRDefault="006F6E4E" w:rsidP="006F6E4E">
    <w:pPr>
      <w:pStyle w:val="Header"/>
      <w:jc w:val="center"/>
    </w:pPr>
    <w:r>
      <w:rPr>
        <w:noProof/>
      </w:rPr>
      <w:drawing>
        <wp:inline distT="0" distB="0" distL="0" distR="0">
          <wp:extent cx="2338086" cy="7419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H_Hospital_Logo-horizontal-Marasch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34" cy="75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4E"/>
    <w:rsid w:val="001043AC"/>
    <w:rsid w:val="002B1189"/>
    <w:rsid w:val="00637536"/>
    <w:rsid w:val="0066023B"/>
    <w:rsid w:val="006F6E4E"/>
    <w:rsid w:val="007A3089"/>
    <w:rsid w:val="009C5A41"/>
    <w:rsid w:val="00E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C0B0"/>
  <w14:defaultImageDpi w14:val="32767"/>
  <w15:chartTrackingRefBased/>
  <w15:docId w15:val="{344302EB-98D6-B14E-B297-22A0E50D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F6E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4E"/>
  </w:style>
  <w:style w:type="paragraph" w:styleId="Footer">
    <w:name w:val="footer"/>
    <w:basedOn w:val="Normal"/>
    <w:link w:val="FooterChar"/>
    <w:uiPriority w:val="99"/>
    <w:unhideWhenUsed/>
    <w:rsid w:val="006F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4E"/>
  </w:style>
  <w:style w:type="character" w:styleId="PageNumber">
    <w:name w:val="page number"/>
    <w:basedOn w:val="DefaultParagraphFont"/>
    <w:uiPriority w:val="99"/>
    <w:semiHidden/>
    <w:unhideWhenUsed/>
    <w:rsid w:val="002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11206721211018365" TargetMode="External"/><Relationship Id="rId18" Type="http://schemas.openxmlformats.org/officeDocument/2006/relationships/hyperlink" Target="https://pubmed.ncbi.nlm.nih.gov/34051357/" TargetMode="External"/><Relationship Id="rId26" Type="http://schemas.openxmlformats.org/officeDocument/2006/relationships/hyperlink" Target="https://pubmed.ncbi.nlm.nih.gov/340018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bmed.ncbi.nlm.nih.gov/3397955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ubmed.ncbi.nlm.nih.gov/34015954/" TargetMode="External"/><Relationship Id="rId12" Type="http://schemas.openxmlformats.org/officeDocument/2006/relationships/hyperlink" Target="https://pubmed.ncbi.nlm.nih.gov/34051211/" TargetMode="External"/><Relationship Id="rId17" Type="http://schemas.openxmlformats.org/officeDocument/2006/relationships/hyperlink" Target="https://pubmed.ncbi.nlm.nih.gov/34044113/" TargetMode="External"/><Relationship Id="rId25" Type="http://schemas.openxmlformats.org/officeDocument/2006/relationships/hyperlink" Target="https://pubmed.ncbi.nlm.nih.gov/3399839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33989595/" TargetMode="External"/><Relationship Id="rId20" Type="http://schemas.openxmlformats.org/officeDocument/2006/relationships/hyperlink" Target="https://pubmed.ncbi.nlm.nih.gov/33976402/" TargetMode="External"/><Relationship Id="rId29" Type="http://schemas.openxmlformats.org/officeDocument/2006/relationships/hyperlink" Target="https://pubmed.ncbi.nlm.nih.gov/34024227/" TargetMode="External"/><Relationship Id="rId1" Type="http://schemas.openxmlformats.org/officeDocument/2006/relationships/styles" Target="styles.xml"/><Relationship Id="rId6" Type="http://schemas.openxmlformats.org/officeDocument/2006/relationships/hyperlink" Target="tel:11206721211018362" TargetMode="External"/><Relationship Id="rId11" Type="http://schemas.openxmlformats.org/officeDocument/2006/relationships/hyperlink" Target="https://pubmed.ncbi.nlm.nih.gov/34052458/" TargetMode="External"/><Relationship Id="rId24" Type="http://schemas.openxmlformats.org/officeDocument/2006/relationships/hyperlink" Target="https://pubmed.ncbi.nlm.nih.gov/33997691/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pubmed.ncbi.nlm.nih.gov/34014814/" TargetMode="External"/><Relationship Id="rId23" Type="http://schemas.openxmlformats.org/officeDocument/2006/relationships/hyperlink" Target="https://pubmed.ncbi.nlm.nih.gov/33993827/" TargetMode="External"/><Relationship Id="rId28" Type="http://schemas.openxmlformats.org/officeDocument/2006/relationships/hyperlink" Target="https://pubmed.ncbi.nlm.nih.gov/34014141/" TargetMode="External"/><Relationship Id="rId10" Type="http://schemas.openxmlformats.org/officeDocument/2006/relationships/hyperlink" Target="https://pubmed.ncbi.nlm.nih.gov/34095790/" TargetMode="External"/><Relationship Id="rId19" Type="http://schemas.openxmlformats.org/officeDocument/2006/relationships/hyperlink" Target="https://pubmed.ncbi.nlm.nih.gov/34049052/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ubmed.ncbi.nlm.nih.gov/34055252/" TargetMode="External"/><Relationship Id="rId14" Type="http://schemas.openxmlformats.org/officeDocument/2006/relationships/hyperlink" Target="https://pubmed.ncbi.nlm.nih.gov/34041935/" TargetMode="External"/><Relationship Id="rId22" Type="http://schemas.openxmlformats.org/officeDocument/2006/relationships/hyperlink" Target="https://pubmed.ncbi.nlm.nih.gov/33991710/" TargetMode="External"/><Relationship Id="rId27" Type="http://schemas.openxmlformats.org/officeDocument/2006/relationships/hyperlink" Target="https://pubmed.ncbi.nlm.nih.gov/34001822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pubmed.ncbi.nlm.nih.gov/3397390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1482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Umfer</dc:creator>
  <cp:keywords/>
  <dc:description/>
  <cp:lastModifiedBy>Susan Umfer</cp:lastModifiedBy>
  <cp:revision>4</cp:revision>
  <dcterms:created xsi:type="dcterms:W3CDTF">2021-06-17T11:14:00Z</dcterms:created>
  <dcterms:modified xsi:type="dcterms:W3CDTF">2021-06-17T11:30:00Z</dcterms:modified>
</cp:coreProperties>
</file>